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16D" w:rsidRPr="0023399F" w:rsidRDefault="00C8116D" w:rsidP="00C8116D">
      <w:pPr>
        <w:pStyle w:val="ANOTACION"/>
        <w:rPr>
          <w:sz w:val="20"/>
        </w:rPr>
      </w:pPr>
      <w:bookmarkStart w:id="0" w:name="_GoBack"/>
      <w:bookmarkEnd w:id="0"/>
      <w:r w:rsidRPr="0023399F">
        <w:rPr>
          <w:sz w:val="20"/>
        </w:rPr>
        <w:t>ANEXO 3</w:t>
      </w:r>
    </w:p>
    <w:p w:rsidR="00C8116D" w:rsidRDefault="00C8116D" w:rsidP="00C8116D">
      <w:pPr>
        <w:pStyle w:val="Texto"/>
        <w:ind w:firstLine="0"/>
        <w:jc w:val="center"/>
        <w:rPr>
          <w:b/>
          <w:color w:val="000000"/>
        </w:rPr>
      </w:pPr>
      <w:r w:rsidRPr="006751B0">
        <w:rPr>
          <w:b/>
          <w:color w:val="000000"/>
        </w:rPr>
        <w:t>“GUÍA DE CUMPLIMIENTO DE LA LEY DE DISCIPLINA FINANCIERA DE LAS ENTIDADES FEDERATIVAS Y LOS MUNICIPIOS”</w:t>
      </w:r>
    </w:p>
    <w:tbl>
      <w:tblPr>
        <w:tblW w:w="13133" w:type="dxa"/>
        <w:tblInd w:w="14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8"/>
        <w:gridCol w:w="233"/>
        <w:gridCol w:w="4117"/>
        <w:gridCol w:w="179"/>
        <w:gridCol w:w="1409"/>
        <w:gridCol w:w="171"/>
        <w:gridCol w:w="1299"/>
        <w:gridCol w:w="1060"/>
        <w:gridCol w:w="1191"/>
        <w:gridCol w:w="1753"/>
        <w:gridCol w:w="1453"/>
      </w:tblGrid>
      <w:tr w:rsidR="00C8116D" w:rsidRPr="005E62A9" w:rsidTr="00DC1B5C">
        <w:trPr>
          <w:trHeight w:val="60"/>
          <w:tblHeader/>
        </w:trPr>
        <w:tc>
          <w:tcPr>
            <w:tcW w:w="1313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70"/>
          <w:tblHeader/>
        </w:trPr>
        <w:tc>
          <w:tcPr>
            <w:tcW w:w="1313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MUNICIPIO DE CAMPEHCE</w:t>
            </w: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(a)</w:t>
            </w:r>
          </w:p>
        </w:tc>
      </w:tr>
      <w:tr w:rsidR="00C8116D" w:rsidRPr="005E62A9" w:rsidTr="00DC1B5C">
        <w:trPr>
          <w:trHeight w:val="70"/>
          <w:tblHeader/>
        </w:trPr>
        <w:tc>
          <w:tcPr>
            <w:tcW w:w="1313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Guía de Cumplimiento de la Ley de Disciplina Financiera de las Entidades Federativas y Municipios</w:t>
            </w:r>
          </w:p>
        </w:tc>
      </w:tr>
      <w:tr w:rsidR="00C8116D" w:rsidRPr="005E62A9" w:rsidTr="00DC1B5C">
        <w:trPr>
          <w:trHeight w:val="70"/>
          <w:tblHeader/>
        </w:trPr>
        <w:tc>
          <w:tcPr>
            <w:tcW w:w="1313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Del 1 de enero al 31 de diciembre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16</w:t>
            </w: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8116D" w:rsidRPr="005E62A9" w:rsidTr="00DC1B5C">
        <w:trPr>
          <w:trHeight w:val="70"/>
          <w:tblHeader/>
        </w:trPr>
        <w:tc>
          <w:tcPr>
            <w:tcW w:w="13133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  <w:tblHeader/>
        </w:trPr>
        <w:tc>
          <w:tcPr>
            <w:tcW w:w="46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Observancia (c)</w:t>
            </w:r>
          </w:p>
        </w:tc>
        <w:tc>
          <w:tcPr>
            <w:tcW w:w="3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Implementación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Resultado</w:t>
            </w:r>
          </w:p>
        </w:tc>
        <w:tc>
          <w:tcPr>
            <w:tcW w:w="17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Fundamento (h)</w:t>
            </w:r>
          </w:p>
        </w:tc>
        <w:tc>
          <w:tcPr>
            <w:tcW w:w="14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Comentarios (i)</w:t>
            </w:r>
          </w:p>
        </w:tc>
      </w:tr>
      <w:tr w:rsidR="00C8116D" w:rsidRPr="005E62A9" w:rsidTr="00DC1B5C">
        <w:trPr>
          <w:trHeight w:val="60"/>
          <w:tblHeader/>
        </w:trPr>
        <w:tc>
          <w:tcPr>
            <w:tcW w:w="4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SI</w:t>
            </w:r>
          </w:p>
        </w:tc>
        <w:tc>
          <w:tcPr>
            <w:tcW w:w="14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NO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60"/>
          <w:tblHeader/>
        </w:trPr>
        <w:tc>
          <w:tcPr>
            <w:tcW w:w="46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Mecanismo de Verificación (d)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Fecha estimada de cumplimiento (e) 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Monto o valor (f)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ind w:left="-57" w:right="-57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Unidad (pesos/porcentaje) (g)</w:t>
            </w: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60"/>
          <w:tblHeader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PRESUPUESTARIOS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Sostenible (j)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$1,074,588,516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$1,074,588,516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$1,277,718,066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 Sostenible (k)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Iniciativa de Ley de Ingresos y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$47,405,397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Ley de Ingresos y Presupuesto de Egresos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$47,405,397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 -26,362,161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Financiamiento Neto dentro del Techo de Financiamiento Neto (l)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Iniciativa de Ley de Ingresos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411FDD" w:rsidRDefault="00C8116D" w:rsidP="00DC1B5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$ </w:t>
            </w:r>
            <w:r w:rsidRPr="00411FDD">
              <w:rPr>
                <w:rFonts w:ascii="Arial" w:hAnsi="Arial" w:cs="Arial"/>
                <w:sz w:val="12"/>
                <w:szCs w:val="12"/>
                <w:lang w:val="es-MX"/>
              </w:rPr>
              <w:t xml:space="preserve">-17,416,996 </w:t>
            </w:r>
          </w:p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Ley de Ingresos 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411FDD" w:rsidRDefault="00C8116D" w:rsidP="00DC1B5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$ </w:t>
            </w:r>
            <w:r w:rsidRPr="00411FDD">
              <w:rPr>
                <w:rFonts w:ascii="Arial" w:hAnsi="Arial" w:cs="Arial"/>
                <w:sz w:val="12"/>
                <w:szCs w:val="12"/>
                <w:lang w:val="es-MX"/>
              </w:rPr>
              <w:t xml:space="preserve">-17,416,996 </w:t>
            </w:r>
          </w:p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4 LDF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411FDD" w:rsidRDefault="00C8116D" w:rsidP="00DC1B5C">
            <w:pPr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$   </w:t>
            </w:r>
            <w:r w:rsidRPr="00411FDD">
              <w:rPr>
                <w:rFonts w:ascii="Arial" w:hAnsi="Arial" w:cs="Arial"/>
                <w:sz w:val="12"/>
                <w:szCs w:val="12"/>
                <w:lang w:val="es-MX"/>
              </w:rPr>
              <w:t xml:space="preserve">66,872,927 </w:t>
            </w:r>
          </w:p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6, 19 y 46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4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Recursos destinados a la atención de desastres naturales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al fideicomiso para desastres naturales (m)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a.1 Aprobado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. Formato 6 a)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16D" w:rsidRDefault="00C8116D" w:rsidP="00DC1B5C">
            <w:r w:rsidRPr="009A1C84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ind w:firstLineChars="200" w:firstLine="2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a.2 Pagado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116D" w:rsidRDefault="00C8116D" w:rsidP="00DC1B5C">
            <w:r w:rsidRPr="009A1C84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Aportación promedio realizada por la Entidad Federativa durante los 5 ejercicios previos, para infraestructura dañada por desastres naturales (n)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Saldo del fideicomiso para desastres naturales (o)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Auxiliar de Cuentas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4F0221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116D" w:rsidRDefault="00C8116D" w:rsidP="00DC1B5C">
            <w:r w:rsidRPr="004F0221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Costo promedio de los últimos 5 ejercicios de la reconstrucción de infraestructura dañada por desastres naturales (p)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Autorizaciones de recursos aprobados por el FONDEN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4F0221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116D" w:rsidRDefault="00C8116D" w:rsidP="00DC1B5C">
            <w:r w:rsidRPr="004F0221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:rsidR="00C8116D" w:rsidRPr="00711E8B" w:rsidRDefault="00C8116D" w:rsidP="00C8116D">
      <w:pPr>
        <w:rPr>
          <w:sz w:val="2"/>
        </w:rPr>
      </w:pPr>
    </w:p>
    <w:tbl>
      <w:tblPr>
        <w:tblW w:w="13133" w:type="dxa"/>
        <w:tblInd w:w="14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8"/>
        <w:gridCol w:w="233"/>
        <w:gridCol w:w="4117"/>
        <w:gridCol w:w="179"/>
        <w:gridCol w:w="1409"/>
        <w:gridCol w:w="171"/>
        <w:gridCol w:w="1299"/>
        <w:gridCol w:w="1060"/>
        <w:gridCol w:w="1191"/>
        <w:gridCol w:w="1753"/>
        <w:gridCol w:w="1453"/>
      </w:tblGrid>
      <w:tr w:rsidR="00C8116D" w:rsidRPr="005E62A9" w:rsidTr="00DC1B5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5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para servicios personales (q)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 w:rsidRPr="00C42B34">
              <w:rPr>
                <w:rFonts w:ascii="Arial" w:hAnsi="Arial" w:cs="Arial"/>
                <w:sz w:val="12"/>
                <w:szCs w:val="12"/>
                <w:lang w:val="es-MX"/>
              </w:rPr>
              <w:t>191,659,359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. Formato 6 d)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$ </w:t>
            </w:r>
            <w:r w:rsidRPr="00C42B34">
              <w:rPr>
                <w:rFonts w:ascii="Arial" w:hAnsi="Arial" w:cs="Arial"/>
                <w:sz w:val="12"/>
                <w:szCs w:val="12"/>
                <w:lang w:val="es-MX"/>
              </w:rPr>
              <w:t>387,562,859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 xml:space="preserve">Art. 13 </w:t>
            </w:r>
            <w:proofErr w:type="spellStart"/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fracc</w:t>
            </w:r>
            <w:proofErr w:type="spellEnd"/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. V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6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Previsiones de gasto para compromisos de pago derivados de 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(r) 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Asignación en el Presupuesto de Egresos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4F0221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116D" w:rsidRDefault="00C8116D" w:rsidP="00DC1B5C">
            <w:r w:rsidRPr="004F0221">
              <w:rPr>
                <w:rFonts w:ascii="Arial" w:hAnsi="Arial" w:cs="Arial"/>
                <w:sz w:val="12"/>
                <w:szCs w:val="12"/>
                <w:lang w:val="es-MX"/>
              </w:rPr>
              <w:t>N.A.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11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Techo de ADEFAS para el ejercicio fiscal (s)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Propuesto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42B34">
              <w:rPr>
                <w:rFonts w:ascii="Arial" w:hAnsi="Arial" w:cs="Arial"/>
                <w:sz w:val="12"/>
                <w:szCs w:val="12"/>
                <w:lang w:val="es-MX"/>
              </w:rPr>
              <w:t>22,435,843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Reporte </w:t>
            </w:r>
            <w:proofErr w:type="spellStart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. Formato 6 a)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42B34">
              <w:rPr>
                <w:rFonts w:ascii="Arial" w:hAnsi="Arial" w:cs="Arial"/>
                <w:sz w:val="12"/>
                <w:szCs w:val="12"/>
                <w:lang w:val="es-MX"/>
              </w:rPr>
              <w:t>22,435,843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Ejercido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 / Formato 6 a)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  67,869,386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12 y 20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Iniciativa de Ley de Ingresos y Proyecto de Presupuesto de Egresos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Objetivos anuales, estrategias y metas para el ejercicio fiscal (t)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Aplicable para el 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Proyecciones de ejercicios posteriores (u)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a) y b)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6E2474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DC5C7F">
              <w:rPr>
                <w:rFonts w:ascii="Arial" w:hAnsi="Arial" w:cs="Arial"/>
                <w:sz w:val="12"/>
                <w:szCs w:val="12"/>
                <w:lang w:val="es-MX"/>
              </w:rPr>
              <w:t> Aplicable para el 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Descripción de riesgos relevantes y propuestas de acción para enfrentarlos (v)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6E2474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DC5C7F">
              <w:rPr>
                <w:rFonts w:ascii="Arial" w:hAnsi="Arial" w:cs="Arial"/>
                <w:sz w:val="12"/>
                <w:szCs w:val="12"/>
                <w:lang w:val="es-MX"/>
              </w:rPr>
              <w:t> Aplicable para el ejercicio presupuestario 2018</w:t>
            </w:r>
          </w:p>
        </w:tc>
      </w:tr>
      <w:tr w:rsidR="00C8116D" w:rsidRPr="005E62A9" w:rsidTr="00DC1B5C">
        <w:trPr>
          <w:trHeight w:val="449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Resultados de ejercicios fiscales anteriores y el ejercicio fiscal en cuestión (w)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y Proyecto de Presupuesto de Egresos / Formatos 7 c) y d)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6E2474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DC5C7F">
              <w:rPr>
                <w:rFonts w:ascii="Arial" w:hAnsi="Arial" w:cs="Arial"/>
                <w:sz w:val="12"/>
                <w:szCs w:val="12"/>
                <w:lang w:val="es-MX"/>
              </w:rPr>
              <w:t> Aplicable para el 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Estudio actuarial de las pensiones de sus trabajadores (x)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 de Egresos / Formato 8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6E2474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5 y 18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DC5C7F">
              <w:rPr>
                <w:rFonts w:ascii="Arial" w:hAnsi="Arial" w:cs="Arial"/>
                <w:sz w:val="12"/>
                <w:szCs w:val="12"/>
                <w:lang w:val="es-MX"/>
              </w:rPr>
              <w:t> Aplicable para el 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de Recursos Disponibles, en caso de ser negativo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Razones excepcionales que justifican el Balance Presupuestario de Recursos Disponibles negativo (y)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C73ABB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883BA0">
              <w:rPr>
                <w:rFonts w:ascii="Arial" w:hAnsi="Arial" w:cs="Arial"/>
                <w:sz w:val="12"/>
                <w:szCs w:val="12"/>
                <w:lang w:val="es-MX"/>
              </w:rPr>
              <w:t> Aplicable para el 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Fuente de recursos para cubrir el Balance Presupuestario de Recursos </w:t>
            </w: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lastRenderedPageBreak/>
              <w:t>Disponibles negativo (z)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 xml:space="preserve">Iniciativa de Ley de Ingresos o </w:t>
            </w: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lastRenderedPageBreak/>
              <w:t>Proyecto de Presupuesto de Egresos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C73ABB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883BA0">
              <w:rPr>
                <w:rFonts w:ascii="Arial" w:hAnsi="Arial" w:cs="Arial"/>
                <w:sz w:val="12"/>
                <w:szCs w:val="12"/>
                <w:lang w:val="es-MX"/>
              </w:rPr>
              <w:t xml:space="preserve"> Aplicable para el </w:t>
            </w:r>
            <w:r w:rsidRPr="00883BA0">
              <w:rPr>
                <w:rFonts w:ascii="Arial" w:hAnsi="Arial" w:cs="Arial"/>
                <w:sz w:val="12"/>
                <w:szCs w:val="12"/>
                <w:lang w:val="es-MX"/>
              </w:rPr>
              <w:lastRenderedPageBreak/>
              <w:t>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lastRenderedPageBreak/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Número de ejercicios fiscales y acciones necesarias para cubrir el Balance Presupuestario de Recursos Disponibles negativo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aa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Iniciativa de Ley de Ingresos o Proyecto de Presupuesto de Egresos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9D416F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325EEE">
              <w:rPr>
                <w:rFonts w:ascii="Arial" w:hAnsi="Arial" w:cs="Arial"/>
                <w:sz w:val="12"/>
                <w:szCs w:val="12"/>
                <w:lang w:val="es-MX"/>
              </w:rPr>
              <w:t>Aplicable para el 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Informes Trimestrales sobre el avance de las acciones para recuperar el Balance Presupuestario de Recursos Disponibles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bb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 xml:space="preserve">Reporte </w:t>
            </w:r>
            <w:proofErr w:type="spellStart"/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Trim</w:t>
            </w:r>
            <w:proofErr w:type="spellEnd"/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. y Cuenta Pública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9D416F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6 y 19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325EEE">
              <w:rPr>
                <w:rFonts w:ascii="Arial" w:hAnsi="Arial" w:cs="Arial"/>
                <w:sz w:val="12"/>
                <w:szCs w:val="12"/>
                <w:lang w:val="es-MX"/>
              </w:rPr>
              <w:t>Aplicable para el ejercicio presupuestario 2018</w:t>
            </w:r>
          </w:p>
        </w:tc>
      </w:tr>
    </w:tbl>
    <w:p w:rsidR="00C8116D" w:rsidRPr="00711E8B" w:rsidRDefault="00C8116D" w:rsidP="00C8116D">
      <w:pPr>
        <w:rPr>
          <w:sz w:val="2"/>
        </w:rPr>
      </w:pPr>
    </w:p>
    <w:tbl>
      <w:tblPr>
        <w:tblW w:w="13133" w:type="dxa"/>
        <w:tblInd w:w="144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68"/>
        <w:gridCol w:w="233"/>
        <w:gridCol w:w="4117"/>
        <w:gridCol w:w="179"/>
        <w:gridCol w:w="1409"/>
        <w:gridCol w:w="171"/>
        <w:gridCol w:w="1299"/>
        <w:gridCol w:w="1060"/>
        <w:gridCol w:w="1191"/>
        <w:gridCol w:w="1753"/>
        <w:gridCol w:w="1453"/>
      </w:tblGrid>
      <w:tr w:rsidR="00C8116D" w:rsidRPr="005E62A9" w:rsidTr="00DC1B5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Servicios Personales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a.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Remuneraciones de los servidores públicos (cc)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AD5EA3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0C394D">
              <w:rPr>
                <w:rFonts w:ascii="Arial" w:hAnsi="Arial" w:cs="Arial"/>
                <w:sz w:val="12"/>
                <w:szCs w:val="12"/>
                <w:lang w:val="es-MX"/>
              </w:rPr>
              <w:t>Aplicable para el 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right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 xml:space="preserve">b. 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Previsiones salariales y económicas para cubrir incrementos salariales, creación de plazas y otros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dd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Proyecto de Presupuesto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AD5EA3">
              <w:rPr>
                <w:rFonts w:ascii="Arial" w:hAnsi="Arial" w:cs="Arial"/>
                <w:sz w:val="12"/>
                <w:szCs w:val="12"/>
                <w:lang w:val="es-MX"/>
              </w:rPr>
              <w:t>  31/12/17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10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0C394D">
              <w:rPr>
                <w:rFonts w:ascii="Arial" w:hAnsi="Arial" w:cs="Arial"/>
                <w:sz w:val="12"/>
                <w:szCs w:val="12"/>
                <w:lang w:val="es-MX"/>
              </w:rPr>
              <w:t>Aplicable para el ejercicio presupuestario 2018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4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both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DEL EJERCICIO PRESUPUESTARIO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INDICADORES CUANTITATIVOS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Ingresos Excedentes derivados de Ingresos de Libre Disposición</w:t>
            </w:r>
          </w:p>
        </w:tc>
        <w:tc>
          <w:tcPr>
            <w:tcW w:w="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ee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 xml:space="preserve">Cuenta Pública / Formato 5 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$262,109,009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 de la LDF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ff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45E8E"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 xml:space="preserve">  $27,423452.96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c.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a) de la LDF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gg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45E8E"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d.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A.14, fracción II, b) de la LDF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hh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Cuenta Pública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45E8E"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N.A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14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e.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Monto de Ingresos Excedentes derivados de ILD destinados al fin del artículo noveno transitorio de la LDF (ii)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  <w:r w:rsidRPr="005E62A9">
              <w:rPr>
                <w:rFonts w:ascii="Arial" w:hAnsi="Arial" w:cs="Arial"/>
                <w:sz w:val="10"/>
                <w:szCs w:val="10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45E8E"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Noveno Transitorio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76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INDICADORES CUALITATIVOS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Análisis Costo-Beneficio para programas o proyectos de inversión mayores a 10 millones de UDIS (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jj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45E8E">
              <w:rPr>
                <w:rFonts w:ascii="Arial" w:hAnsi="Arial" w:cs="Arial"/>
                <w:sz w:val="12"/>
                <w:szCs w:val="12"/>
                <w:lang w:val="es-MX"/>
              </w:rPr>
              <w:t>31/12/1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</w:tcPr>
          <w:p w:rsidR="00C8116D" w:rsidRDefault="00C8116D" w:rsidP="00DC1B5C">
            <w:pPr>
              <w:jc w:val="center"/>
            </w:pPr>
            <w:r w:rsidRPr="001F7674">
              <w:rPr>
                <w:rFonts w:ascii="Arial" w:hAnsi="Arial" w:cs="Arial"/>
                <w:sz w:val="12"/>
                <w:szCs w:val="12"/>
                <w:lang w:val="es-MX"/>
              </w:rPr>
              <w:t>N.A</w:t>
            </w:r>
          </w:p>
        </w:tc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2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Análisis de conveniencia y análisis de transferencia de riesgos de los proyectos 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APPs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</w:t>
            </w:r>
            <w:proofErr w:type="spellStart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kk</w:t>
            </w:r>
            <w:proofErr w:type="spellEnd"/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45E8E">
              <w:rPr>
                <w:rFonts w:ascii="Arial" w:hAnsi="Arial" w:cs="Arial"/>
                <w:sz w:val="12"/>
                <w:szCs w:val="12"/>
                <w:lang w:val="es-MX"/>
              </w:rPr>
              <w:t>31/12/1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2F2F2"/>
          </w:tcPr>
          <w:p w:rsidR="00C8116D" w:rsidRDefault="00C8116D" w:rsidP="00DC1B5C">
            <w:pPr>
              <w:jc w:val="center"/>
            </w:pPr>
            <w:r w:rsidRPr="001F7674">
              <w:rPr>
                <w:rFonts w:ascii="Arial" w:hAnsi="Arial" w:cs="Arial"/>
                <w:sz w:val="12"/>
                <w:szCs w:val="12"/>
                <w:lang w:val="es-MX"/>
              </w:rPr>
              <w:t>N.A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III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Identificación de población objetivo, destino y temporalidad de subsidios (ll)</w:t>
            </w:r>
          </w:p>
        </w:tc>
        <w:tc>
          <w:tcPr>
            <w:tcW w:w="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9"/>
                <w:szCs w:val="9"/>
                <w:lang w:val="es-MX"/>
              </w:rPr>
            </w:pPr>
            <w:r w:rsidRPr="005E62A9">
              <w:rPr>
                <w:rFonts w:ascii="Arial" w:hAnsi="Arial" w:cs="Arial"/>
                <w:sz w:val="9"/>
                <w:szCs w:val="9"/>
                <w:lang w:val="es-MX"/>
              </w:rPr>
              <w:t>Página de internet de la Secretaría de Finanzas o Tesorería Municipal</w:t>
            </w:r>
          </w:p>
        </w:tc>
        <w:tc>
          <w:tcPr>
            <w:tcW w:w="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Pr="00F45E8E" w:rsidRDefault="00C8116D" w:rsidP="00DC1B5C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F45E8E">
              <w:rPr>
                <w:rFonts w:ascii="Arial" w:hAnsi="Arial" w:cs="Arial"/>
                <w:sz w:val="12"/>
                <w:szCs w:val="12"/>
                <w:lang w:val="es-MX"/>
              </w:rPr>
              <w:t>31/12/1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8116D" w:rsidRDefault="00C8116D" w:rsidP="00DC1B5C">
            <w:pPr>
              <w:jc w:val="center"/>
            </w:pPr>
            <w:r w:rsidRPr="001F7674">
              <w:rPr>
                <w:rFonts w:ascii="Arial" w:hAnsi="Arial" w:cs="Arial"/>
                <w:sz w:val="12"/>
                <w:szCs w:val="12"/>
                <w:lang w:val="es-MX"/>
              </w:rPr>
              <w:t>N.A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13 frac. VII y 21 de la LDF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76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INDICADORES DE DEUDA PÚBLICA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</w:tr>
      <w:tr w:rsidR="00C8116D" w:rsidRPr="005E62A9" w:rsidTr="00DC1B5C">
        <w:trPr>
          <w:trHeight w:val="77"/>
        </w:trPr>
        <w:tc>
          <w:tcPr>
            <w:tcW w:w="131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A. INDICADORES CUANTITATIVOS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</w:p>
        </w:tc>
        <w:tc>
          <w:tcPr>
            <w:tcW w:w="43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Obligaciones a Corto Plazo</w:t>
            </w:r>
          </w:p>
        </w:tc>
        <w:tc>
          <w:tcPr>
            <w:tcW w:w="17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60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a.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Pr="005E62A9" w:rsidRDefault="00C8116D" w:rsidP="00DC1B5C">
            <w:pPr>
              <w:spacing w:before="40" w:after="6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Límite de Obligaciones a Corto Plazo (mm)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B24046"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59,016,221</w:t>
            </w: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6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  <w:tr w:rsidR="00C8116D" w:rsidRPr="005E62A9" w:rsidTr="00DC1B5C">
        <w:trPr>
          <w:trHeight w:val="53"/>
        </w:trPr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b.</w:t>
            </w:r>
          </w:p>
        </w:tc>
        <w:tc>
          <w:tcPr>
            <w:tcW w:w="4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Obligaciones a Corto Plazo (</w:t>
            </w:r>
            <w:proofErr w:type="spellStart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nn</w:t>
            </w:r>
            <w:proofErr w:type="spellEnd"/>
            <w:r w:rsidRPr="005E62A9">
              <w:rPr>
                <w:rFonts w:ascii="Arial" w:hAnsi="Arial" w:cs="Arial"/>
                <w:i/>
                <w:iCs/>
                <w:sz w:val="12"/>
                <w:szCs w:val="12"/>
                <w:lang w:val="es-MX"/>
              </w:rPr>
              <w:t>)</w:t>
            </w:r>
          </w:p>
        </w:tc>
        <w:tc>
          <w:tcPr>
            <w:tcW w:w="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s-MX"/>
              </w:rPr>
            </w:pPr>
          </w:p>
        </w:tc>
        <w:tc>
          <w:tcPr>
            <w:tcW w:w="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116D" w:rsidRDefault="00C8116D" w:rsidP="00DC1B5C">
            <w:r w:rsidRPr="00B24046">
              <w:rPr>
                <w:rFonts w:ascii="Arial" w:hAnsi="Arial" w:cs="Arial"/>
                <w:sz w:val="12"/>
                <w:szCs w:val="12"/>
                <w:lang w:val="es-MX"/>
              </w:rPr>
              <w:t>31/12/16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50,000,000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pesos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Art. 30 frac. I de la LDF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16D" w:rsidRPr="005E62A9" w:rsidRDefault="00C8116D" w:rsidP="00DC1B5C">
            <w:pPr>
              <w:spacing w:before="40" w:after="40"/>
              <w:jc w:val="center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E62A9">
              <w:rPr>
                <w:rFonts w:ascii="Arial" w:hAnsi="Arial" w:cs="Arial"/>
                <w:sz w:val="12"/>
                <w:szCs w:val="12"/>
                <w:lang w:val="es-MX"/>
              </w:rPr>
              <w:t> </w:t>
            </w:r>
          </w:p>
        </w:tc>
      </w:tr>
    </w:tbl>
    <w:p w:rsidR="00C8116D" w:rsidRPr="006751B0" w:rsidRDefault="00C8116D" w:rsidP="00C8116D">
      <w:pPr>
        <w:pStyle w:val="Texto"/>
        <w:rPr>
          <w:b/>
        </w:rPr>
      </w:pPr>
    </w:p>
    <w:p w:rsidR="00DC6A4B" w:rsidRDefault="00DC6A4B"/>
    <w:sectPr w:rsidR="00DC6A4B" w:rsidSect="00C8116D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16D"/>
    <w:rsid w:val="00C8116D"/>
    <w:rsid w:val="00D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C8116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8116D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8116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8116D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C8116D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C8116D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C8116D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NOTACIONCar">
    <w:name w:val="ANOTACION Car"/>
    <w:link w:val="ANOTACION"/>
    <w:locked/>
    <w:rsid w:val="00C8116D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1313</Words>
  <Characters>7222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ISABEL</cp:lastModifiedBy>
  <cp:revision>1</cp:revision>
  <dcterms:created xsi:type="dcterms:W3CDTF">2018-01-22T19:49:00Z</dcterms:created>
  <dcterms:modified xsi:type="dcterms:W3CDTF">2018-01-22T19:50:00Z</dcterms:modified>
</cp:coreProperties>
</file>